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26" w:rsidRDefault="007A0541">
      <w:pPr>
        <w:jc w:val="center"/>
        <w:rPr>
          <w:rFonts w:ascii="仿宋_GB2312" w:eastAsia="仿宋_GB2312"/>
          <w:sz w:val="36"/>
          <w:szCs w:val="36"/>
        </w:rPr>
      </w:pPr>
      <w:r>
        <w:rPr>
          <w:rFonts w:ascii="仿宋_GB2312" w:eastAsia="仿宋_GB2312" w:hint="eastAsia"/>
          <w:sz w:val="36"/>
          <w:szCs w:val="36"/>
        </w:rPr>
        <w:t>南方精典（重庆）人才服务有限公司</w:t>
      </w:r>
    </w:p>
    <w:p w:rsidR="00235726" w:rsidRDefault="00AF1054">
      <w:pPr>
        <w:jc w:val="center"/>
        <w:rPr>
          <w:rFonts w:ascii="黑体" w:eastAsia="黑体"/>
          <w:b/>
          <w:bCs/>
          <w:sz w:val="32"/>
          <w:szCs w:val="32"/>
        </w:rPr>
      </w:pPr>
      <w:r>
        <w:rPr>
          <w:rFonts w:ascii="黑体" w:eastAsia="黑体" w:hAnsi="宋体" w:hint="eastAsia"/>
          <w:b/>
          <w:bCs/>
          <w:sz w:val="32"/>
          <w:szCs w:val="32"/>
        </w:rPr>
        <w:t>合规性评价报告</w:t>
      </w:r>
    </w:p>
    <w:p w:rsidR="00235726" w:rsidRDefault="00AF1054">
      <w:pPr>
        <w:rPr>
          <w:rFonts w:ascii="仿宋_GB2312" w:eastAsia="仿宋_GB2312"/>
          <w:sz w:val="28"/>
          <w:szCs w:val="28"/>
        </w:rPr>
      </w:pPr>
      <w:r>
        <w:rPr>
          <w:rFonts w:ascii="仿宋_GB2312" w:eastAsia="仿宋_GB2312" w:hAnsi="宋体" w:hint="eastAsia"/>
          <w:sz w:val="28"/>
          <w:szCs w:val="28"/>
        </w:rPr>
        <w:t>一、评价目的</w:t>
      </w:r>
    </w:p>
    <w:p w:rsidR="00235726" w:rsidRDefault="00AF1054">
      <w:pPr>
        <w:ind w:left="600"/>
        <w:rPr>
          <w:rFonts w:ascii="仿宋_GB2312" w:eastAsia="仿宋_GB2312"/>
          <w:sz w:val="28"/>
          <w:szCs w:val="28"/>
        </w:rPr>
      </w:pPr>
      <w:r>
        <w:rPr>
          <w:rFonts w:ascii="仿宋_GB2312" w:eastAsia="仿宋_GB2312" w:hAnsi="宋体" w:hint="eastAsia"/>
          <w:sz w:val="28"/>
          <w:szCs w:val="28"/>
        </w:rPr>
        <w:t>公司环境与职业健康安全管理体系运行过程中对法律法规遵循情况的评价分析。</w:t>
      </w:r>
    </w:p>
    <w:p w:rsidR="00235726" w:rsidRDefault="00AF1054">
      <w:pPr>
        <w:rPr>
          <w:rFonts w:ascii="仿宋_GB2312" w:eastAsia="仿宋_GB2312"/>
          <w:sz w:val="28"/>
          <w:szCs w:val="28"/>
        </w:rPr>
      </w:pPr>
      <w:r>
        <w:rPr>
          <w:rFonts w:ascii="仿宋_GB2312" w:eastAsia="仿宋_GB2312" w:hAnsi="宋体" w:hint="eastAsia"/>
          <w:sz w:val="28"/>
          <w:szCs w:val="28"/>
        </w:rPr>
        <w:t>二、评价范围</w:t>
      </w:r>
    </w:p>
    <w:p w:rsidR="00235726" w:rsidRDefault="00AF1054">
      <w:pPr>
        <w:ind w:firstLineChars="300" w:firstLine="840"/>
        <w:rPr>
          <w:rFonts w:ascii="仿宋_GB2312" w:eastAsia="仿宋_GB2312"/>
          <w:sz w:val="28"/>
          <w:szCs w:val="28"/>
        </w:rPr>
      </w:pPr>
      <w:r>
        <w:rPr>
          <w:rFonts w:ascii="仿宋_GB2312" w:eastAsia="仿宋_GB2312" w:hAnsi="宋体"/>
          <w:sz w:val="28"/>
          <w:szCs w:val="28"/>
        </w:rPr>
        <w:t>1</w:t>
      </w:r>
      <w:r>
        <w:rPr>
          <w:rFonts w:ascii="仿宋_GB2312" w:eastAsia="仿宋_GB2312" w:hAnsi="宋体" w:hint="eastAsia"/>
          <w:sz w:val="28"/>
          <w:szCs w:val="28"/>
        </w:rPr>
        <w:t>、公司</w:t>
      </w:r>
      <w:r w:rsidR="00CD300C" w:rsidRPr="00CD300C">
        <w:rPr>
          <w:rFonts w:ascii="仿宋_GB2312" w:eastAsia="仿宋_GB2312" w:hAnsi="宋体" w:hint="eastAsia"/>
          <w:sz w:val="28"/>
          <w:szCs w:val="28"/>
        </w:rPr>
        <w:t>资质范围内环境污染治理（水处理）</w:t>
      </w:r>
      <w:r>
        <w:rPr>
          <w:rFonts w:ascii="仿宋_GB2312" w:eastAsia="仿宋_GB2312" w:hAnsi="宋体" w:hint="eastAsia"/>
          <w:sz w:val="28"/>
          <w:szCs w:val="28"/>
        </w:rPr>
        <w:t>的环境、安全因素。</w:t>
      </w:r>
    </w:p>
    <w:p w:rsidR="00235726" w:rsidRDefault="00AF1054">
      <w:pPr>
        <w:rPr>
          <w:rFonts w:ascii="仿宋_GB2312" w:eastAsia="仿宋_GB2312"/>
          <w:sz w:val="28"/>
          <w:szCs w:val="28"/>
        </w:rPr>
      </w:pPr>
      <w:r>
        <w:rPr>
          <w:rFonts w:ascii="仿宋_GB2312" w:eastAsia="仿宋_GB2312" w:hAnsi="宋体" w:hint="eastAsia"/>
          <w:sz w:val="28"/>
          <w:szCs w:val="28"/>
        </w:rPr>
        <w:t>三、评价准则</w:t>
      </w:r>
    </w:p>
    <w:p w:rsidR="00235726" w:rsidRDefault="00AF1054">
      <w:pPr>
        <w:numPr>
          <w:ilvl w:val="1"/>
          <w:numId w:val="1"/>
        </w:numPr>
        <w:tabs>
          <w:tab w:val="clear" w:pos="1740"/>
          <w:tab w:val="left" w:pos="1274"/>
        </w:tabs>
        <w:ind w:left="0" w:firstLine="720"/>
        <w:rPr>
          <w:rFonts w:ascii="仿宋_GB2312" w:eastAsia="仿宋_GB2312"/>
          <w:sz w:val="28"/>
          <w:szCs w:val="28"/>
        </w:rPr>
      </w:pPr>
      <w:r>
        <w:rPr>
          <w:rFonts w:ascii="仿宋_GB2312" w:eastAsia="仿宋_GB2312" w:hAnsi="宋体"/>
          <w:sz w:val="28"/>
          <w:szCs w:val="28"/>
        </w:rPr>
        <w:t>GB/T24001-20</w:t>
      </w:r>
      <w:r>
        <w:rPr>
          <w:rFonts w:ascii="仿宋_GB2312" w:eastAsia="仿宋_GB2312" w:hAnsi="宋体" w:hint="eastAsia"/>
          <w:sz w:val="28"/>
          <w:szCs w:val="28"/>
        </w:rPr>
        <w:t>16、</w:t>
      </w:r>
      <w:r w:rsidR="00CD300C">
        <w:rPr>
          <w:rFonts w:ascii="仿宋_GB2312" w:eastAsia="仿宋_GB2312" w:hAnsi="宋体" w:hint="eastAsia"/>
          <w:sz w:val="28"/>
          <w:szCs w:val="28"/>
        </w:rPr>
        <w:t>ISO45001:2018</w:t>
      </w:r>
    </w:p>
    <w:p w:rsidR="00235726" w:rsidRDefault="00AF1054">
      <w:pPr>
        <w:numPr>
          <w:ilvl w:val="1"/>
          <w:numId w:val="1"/>
        </w:numPr>
        <w:tabs>
          <w:tab w:val="clear" w:pos="1740"/>
          <w:tab w:val="left" w:pos="1274"/>
        </w:tabs>
        <w:ind w:left="0" w:firstLine="720"/>
        <w:rPr>
          <w:rFonts w:ascii="仿宋_GB2312" w:eastAsia="仿宋_GB2312"/>
          <w:sz w:val="28"/>
          <w:szCs w:val="28"/>
        </w:rPr>
      </w:pPr>
      <w:r>
        <w:rPr>
          <w:rFonts w:ascii="仿宋_GB2312" w:eastAsia="仿宋_GB2312" w:hAnsi="宋体" w:hint="eastAsia"/>
          <w:sz w:val="28"/>
          <w:szCs w:val="28"/>
        </w:rPr>
        <w:t>公司管理手册、程序文件、管理文件。</w:t>
      </w:r>
    </w:p>
    <w:p w:rsidR="00235726" w:rsidRDefault="00AF1054">
      <w:pPr>
        <w:numPr>
          <w:ilvl w:val="1"/>
          <w:numId w:val="1"/>
        </w:numPr>
        <w:tabs>
          <w:tab w:val="clear" w:pos="1740"/>
          <w:tab w:val="left" w:pos="1274"/>
        </w:tabs>
        <w:ind w:left="0" w:firstLine="720"/>
        <w:rPr>
          <w:rFonts w:ascii="仿宋_GB2312" w:eastAsia="仿宋_GB2312"/>
          <w:sz w:val="28"/>
          <w:szCs w:val="28"/>
        </w:rPr>
      </w:pPr>
      <w:r>
        <w:rPr>
          <w:rFonts w:ascii="仿宋_GB2312" w:eastAsia="仿宋_GB2312" w:hAnsi="宋体" w:hint="eastAsia"/>
          <w:sz w:val="28"/>
          <w:szCs w:val="28"/>
        </w:rPr>
        <w:t>相关法律法规和标准。</w:t>
      </w:r>
    </w:p>
    <w:p w:rsidR="00235726" w:rsidRDefault="00AF1054">
      <w:pPr>
        <w:numPr>
          <w:ilvl w:val="1"/>
          <w:numId w:val="1"/>
        </w:numPr>
        <w:tabs>
          <w:tab w:val="clear" w:pos="1740"/>
          <w:tab w:val="left" w:pos="1274"/>
        </w:tabs>
        <w:ind w:left="0" w:firstLine="720"/>
        <w:rPr>
          <w:rFonts w:ascii="仿宋_GB2312" w:eastAsia="仿宋_GB2312"/>
          <w:sz w:val="28"/>
          <w:szCs w:val="28"/>
        </w:rPr>
      </w:pPr>
      <w:r>
        <w:rPr>
          <w:rFonts w:ascii="仿宋_GB2312" w:eastAsia="仿宋_GB2312" w:hAnsi="宋体" w:hint="eastAsia"/>
          <w:sz w:val="28"/>
          <w:szCs w:val="28"/>
        </w:rPr>
        <w:t>企业管理制度。</w:t>
      </w:r>
    </w:p>
    <w:p w:rsidR="00235726" w:rsidRDefault="00AF1054">
      <w:pPr>
        <w:rPr>
          <w:rFonts w:ascii="仿宋_GB2312" w:eastAsia="仿宋_GB2312"/>
          <w:sz w:val="28"/>
          <w:szCs w:val="28"/>
        </w:rPr>
      </w:pPr>
      <w:r>
        <w:rPr>
          <w:rFonts w:ascii="仿宋_GB2312" w:eastAsia="仿宋_GB2312" w:hAnsi="宋体" w:hint="eastAsia"/>
          <w:sz w:val="28"/>
          <w:szCs w:val="28"/>
        </w:rPr>
        <w:t>四、评价组成员</w:t>
      </w:r>
    </w:p>
    <w:p w:rsidR="00235726" w:rsidRDefault="00AF1054">
      <w:pPr>
        <w:ind w:left="600"/>
        <w:rPr>
          <w:rFonts w:ascii="仿宋_GB2312" w:eastAsia="仿宋_GB2312"/>
          <w:sz w:val="28"/>
          <w:szCs w:val="28"/>
        </w:rPr>
      </w:pPr>
      <w:r>
        <w:rPr>
          <w:rFonts w:ascii="仿宋_GB2312" w:eastAsia="仿宋_GB2312" w:hAnsi="宋体" w:hint="eastAsia"/>
          <w:sz w:val="28"/>
          <w:szCs w:val="28"/>
        </w:rPr>
        <w:t xml:space="preserve">评价组长： </w:t>
      </w:r>
    </w:p>
    <w:p w:rsidR="00235726" w:rsidRDefault="00AF1054">
      <w:pPr>
        <w:ind w:firstLineChars="200" w:firstLine="560"/>
        <w:rPr>
          <w:rFonts w:ascii="仿宋_GB2312" w:eastAsia="仿宋_GB2312"/>
          <w:sz w:val="28"/>
          <w:szCs w:val="28"/>
        </w:rPr>
      </w:pPr>
      <w:r>
        <w:rPr>
          <w:rFonts w:ascii="仿宋_GB2312" w:eastAsia="仿宋_GB2312" w:hAnsi="宋体" w:hint="eastAsia"/>
          <w:sz w:val="28"/>
          <w:szCs w:val="28"/>
        </w:rPr>
        <w:t>成</w:t>
      </w:r>
      <w:r>
        <w:rPr>
          <w:rFonts w:ascii="仿宋_GB2312" w:eastAsia="仿宋_GB2312" w:hAnsi="宋体"/>
          <w:sz w:val="28"/>
          <w:szCs w:val="28"/>
        </w:rPr>
        <w:t xml:space="preserve">    </w:t>
      </w:r>
      <w:r>
        <w:rPr>
          <w:rFonts w:ascii="仿宋_GB2312" w:eastAsia="仿宋_GB2312" w:hAnsi="宋体" w:hint="eastAsia"/>
          <w:sz w:val="28"/>
          <w:szCs w:val="28"/>
        </w:rPr>
        <w:t>员：</w:t>
      </w:r>
    </w:p>
    <w:p w:rsidR="00235726" w:rsidRDefault="00AF1054">
      <w:pPr>
        <w:rPr>
          <w:rFonts w:ascii="仿宋_GB2312" w:eastAsia="仿宋_GB2312"/>
          <w:sz w:val="28"/>
          <w:szCs w:val="28"/>
        </w:rPr>
      </w:pPr>
      <w:r>
        <w:rPr>
          <w:rFonts w:ascii="仿宋_GB2312" w:eastAsia="仿宋_GB2312" w:hAnsi="宋体" w:hint="eastAsia"/>
          <w:sz w:val="28"/>
          <w:szCs w:val="28"/>
        </w:rPr>
        <w:t>五、评价时间</w:t>
      </w:r>
    </w:p>
    <w:p w:rsidR="00235726" w:rsidRDefault="00CD300C">
      <w:pPr>
        <w:ind w:left="600"/>
        <w:rPr>
          <w:rFonts w:ascii="仿宋_GB2312" w:eastAsia="仿宋_GB2312"/>
          <w:sz w:val="28"/>
          <w:szCs w:val="28"/>
        </w:rPr>
      </w:pPr>
      <w:r>
        <w:rPr>
          <w:rFonts w:ascii="仿宋_GB2312" w:eastAsia="仿宋_GB2312" w:hAnsi="宋体"/>
          <w:sz w:val="28"/>
          <w:szCs w:val="28"/>
        </w:rPr>
        <w:t>20</w:t>
      </w:r>
      <w:r>
        <w:rPr>
          <w:rFonts w:ascii="仿宋_GB2312" w:eastAsia="仿宋_GB2312" w:hAnsi="宋体" w:hint="eastAsia"/>
          <w:sz w:val="28"/>
          <w:szCs w:val="28"/>
        </w:rPr>
        <w:t>20</w:t>
      </w:r>
      <w:r w:rsidR="00AF1054">
        <w:rPr>
          <w:rFonts w:ascii="仿宋_GB2312" w:eastAsia="仿宋_GB2312" w:hAnsi="宋体" w:hint="eastAsia"/>
          <w:sz w:val="28"/>
          <w:szCs w:val="28"/>
        </w:rPr>
        <w:t>年</w:t>
      </w:r>
      <w:r w:rsidR="007A0541">
        <w:rPr>
          <w:rFonts w:ascii="仿宋_GB2312" w:eastAsia="仿宋_GB2312" w:hAnsi="宋体" w:hint="eastAsia"/>
          <w:sz w:val="28"/>
          <w:szCs w:val="28"/>
        </w:rPr>
        <w:t>5</w:t>
      </w:r>
      <w:r w:rsidR="00AF1054">
        <w:rPr>
          <w:rFonts w:ascii="仿宋_GB2312" w:eastAsia="仿宋_GB2312" w:hAnsi="宋体" w:hint="eastAsia"/>
          <w:sz w:val="28"/>
          <w:szCs w:val="28"/>
        </w:rPr>
        <w:t>月</w:t>
      </w:r>
      <w:r w:rsidR="007A0541">
        <w:rPr>
          <w:rFonts w:ascii="仿宋_GB2312" w:eastAsia="仿宋_GB2312" w:hAnsi="宋体" w:hint="eastAsia"/>
          <w:sz w:val="28"/>
          <w:szCs w:val="28"/>
        </w:rPr>
        <w:t>22</w:t>
      </w:r>
      <w:r w:rsidR="00AF1054">
        <w:rPr>
          <w:rFonts w:ascii="仿宋_GB2312" w:eastAsia="仿宋_GB2312" w:hAnsi="宋体" w:hint="eastAsia"/>
          <w:sz w:val="28"/>
          <w:szCs w:val="28"/>
        </w:rPr>
        <w:t>日</w:t>
      </w:r>
    </w:p>
    <w:p w:rsidR="00235726" w:rsidRDefault="00AF1054">
      <w:pPr>
        <w:rPr>
          <w:rFonts w:ascii="仿宋_GB2312" w:eastAsia="仿宋_GB2312"/>
          <w:sz w:val="28"/>
          <w:szCs w:val="28"/>
        </w:rPr>
      </w:pPr>
      <w:r>
        <w:rPr>
          <w:rFonts w:ascii="仿宋_GB2312" w:eastAsia="仿宋_GB2312" w:hAnsi="宋体" w:hint="eastAsia"/>
          <w:sz w:val="28"/>
          <w:szCs w:val="28"/>
        </w:rPr>
        <w:t>六、评价过程综述</w:t>
      </w:r>
    </w:p>
    <w:p w:rsidR="00235726" w:rsidRDefault="00AF1054">
      <w:pPr>
        <w:ind w:firstLineChars="200" w:firstLine="560"/>
        <w:rPr>
          <w:rFonts w:ascii="仿宋_GB2312" w:eastAsia="仿宋_GB2312"/>
          <w:sz w:val="28"/>
          <w:szCs w:val="28"/>
        </w:rPr>
      </w:pPr>
      <w:r>
        <w:rPr>
          <w:rFonts w:ascii="仿宋_GB2312" w:eastAsia="仿宋_GB2312" w:hAnsi="宋体"/>
          <w:sz w:val="28"/>
          <w:szCs w:val="28"/>
        </w:rPr>
        <w:t>1</w:t>
      </w:r>
      <w:r>
        <w:rPr>
          <w:rFonts w:ascii="仿宋_GB2312" w:eastAsia="仿宋_GB2312" w:hAnsi="宋体" w:hint="eastAsia"/>
          <w:sz w:val="28"/>
          <w:szCs w:val="28"/>
        </w:rPr>
        <w:t>、公司各部门</w:t>
      </w:r>
    </w:p>
    <w:p w:rsidR="00235726" w:rsidRDefault="00AF1054">
      <w:pPr>
        <w:ind w:firstLine="600"/>
        <w:rPr>
          <w:rFonts w:ascii="仿宋_GB2312" w:eastAsia="仿宋_GB2312"/>
          <w:sz w:val="28"/>
          <w:szCs w:val="28"/>
        </w:rPr>
      </w:pPr>
      <w:r>
        <w:rPr>
          <w:rFonts w:ascii="仿宋_GB2312" w:eastAsia="仿宋_GB2312" w:hAnsi="宋体"/>
          <w:sz w:val="28"/>
          <w:szCs w:val="28"/>
        </w:rPr>
        <w:t xml:space="preserve">1.1 </w:t>
      </w:r>
      <w:r>
        <w:rPr>
          <w:rFonts w:ascii="仿宋_GB2312" w:eastAsia="仿宋_GB2312" w:hAnsi="宋体" w:hint="eastAsia"/>
          <w:sz w:val="28"/>
          <w:szCs w:val="28"/>
        </w:rPr>
        <w:t>污水排放：办公场所存在有清洁废水排放、洗手间废水排放共</w:t>
      </w:r>
      <w:r>
        <w:rPr>
          <w:rFonts w:ascii="仿宋_GB2312" w:eastAsia="仿宋_GB2312" w:hAnsi="宋体"/>
          <w:sz w:val="28"/>
          <w:szCs w:val="28"/>
        </w:rPr>
        <w:t>2</w:t>
      </w:r>
      <w:r>
        <w:rPr>
          <w:rFonts w:ascii="仿宋_GB2312" w:eastAsia="仿宋_GB2312" w:hAnsi="宋体" w:hint="eastAsia"/>
          <w:sz w:val="28"/>
          <w:szCs w:val="28"/>
        </w:rPr>
        <w:t>项环境因素，适用的法律法规有水污染防治法、污水综合排放标准。建筑物及设施的清洁废水排入小区化粪池后统一排入市政管网；污水处理后产生的废水排入工业场所的排污管道中。</w:t>
      </w:r>
      <w:r>
        <w:rPr>
          <w:rFonts w:ascii="仿宋_GB2312" w:eastAsia="仿宋_GB2312" w:hAnsi="宋体"/>
          <w:sz w:val="28"/>
          <w:szCs w:val="28"/>
        </w:rPr>
        <w:t>2</w:t>
      </w:r>
      <w:r>
        <w:rPr>
          <w:rFonts w:ascii="仿宋_GB2312" w:eastAsia="仿宋_GB2312" w:hAnsi="宋体" w:hint="eastAsia"/>
          <w:sz w:val="28"/>
          <w:szCs w:val="28"/>
        </w:rPr>
        <w:t>项因素判定为都符合要求。</w:t>
      </w:r>
    </w:p>
    <w:p w:rsidR="00235726" w:rsidRDefault="00AF1054">
      <w:pPr>
        <w:ind w:firstLine="600"/>
        <w:rPr>
          <w:rFonts w:ascii="仿宋_GB2312" w:eastAsia="仿宋_GB2312"/>
          <w:sz w:val="28"/>
          <w:szCs w:val="28"/>
        </w:rPr>
      </w:pPr>
      <w:r>
        <w:rPr>
          <w:rFonts w:ascii="仿宋_GB2312" w:eastAsia="仿宋_GB2312" w:hAnsi="宋体"/>
          <w:sz w:val="28"/>
          <w:szCs w:val="28"/>
        </w:rPr>
        <w:lastRenderedPageBreak/>
        <w:t xml:space="preserve">1.2 </w:t>
      </w:r>
      <w:r>
        <w:rPr>
          <w:rFonts w:ascii="仿宋_GB2312" w:eastAsia="仿宋_GB2312" w:hAnsi="宋体" w:hint="eastAsia"/>
          <w:sz w:val="28"/>
          <w:szCs w:val="28"/>
        </w:rPr>
        <w:t>固体废弃物排放：存在有电线的废弃、办公和生活垃圾的废弃、纸包装袋的废弃、尼龙袋塑料袋的废弃、办公纸张的废弃、废纸箱的废弃、</w:t>
      </w:r>
      <w:r>
        <w:rPr>
          <w:rFonts w:ascii="仿宋_GB2312" w:eastAsia="仿宋_GB2312" w:hAnsi="宋体"/>
          <w:sz w:val="28"/>
          <w:szCs w:val="28"/>
        </w:rPr>
        <w:t xml:space="preserve"> </w:t>
      </w:r>
      <w:r>
        <w:rPr>
          <w:rFonts w:ascii="仿宋_GB2312" w:eastAsia="仿宋_GB2312" w:hAnsi="宋体" w:hint="eastAsia"/>
          <w:sz w:val="28"/>
          <w:szCs w:val="28"/>
        </w:rPr>
        <w:t>过期消防器材的废弃、</w:t>
      </w:r>
      <w:r>
        <w:rPr>
          <w:rFonts w:ascii="仿宋_GB2312" w:eastAsia="仿宋_GB2312" w:hAnsi="宋体"/>
          <w:sz w:val="28"/>
          <w:szCs w:val="28"/>
        </w:rPr>
        <w:t xml:space="preserve"> </w:t>
      </w:r>
      <w:r>
        <w:rPr>
          <w:rFonts w:ascii="仿宋_GB2312" w:eastAsia="仿宋_GB2312" w:hAnsi="宋体" w:hint="eastAsia"/>
          <w:sz w:val="28"/>
          <w:szCs w:val="28"/>
        </w:rPr>
        <w:t>办公室塑料的废弃、废电器及配件的废弃共</w:t>
      </w:r>
      <w:r>
        <w:rPr>
          <w:rFonts w:ascii="仿宋_GB2312" w:eastAsia="仿宋_GB2312" w:hAnsi="宋体"/>
          <w:sz w:val="28"/>
          <w:szCs w:val="28"/>
        </w:rPr>
        <w:t>1</w:t>
      </w:r>
      <w:r>
        <w:rPr>
          <w:rFonts w:ascii="仿宋_GB2312" w:eastAsia="仿宋_GB2312" w:hAnsi="宋体" w:hint="eastAsia"/>
          <w:sz w:val="28"/>
          <w:szCs w:val="28"/>
        </w:rPr>
        <w:t>0项，适用的法律法规有固体废物环境防治法、城市建筑垃圾管理规定，城市生活垃圾管理办法。</w:t>
      </w:r>
      <w:r>
        <w:rPr>
          <w:rFonts w:ascii="仿宋_GB2312" w:eastAsia="仿宋_GB2312" w:hAnsi="宋体"/>
          <w:sz w:val="28"/>
          <w:szCs w:val="28"/>
        </w:rPr>
        <w:t>1</w:t>
      </w:r>
      <w:r>
        <w:rPr>
          <w:rFonts w:ascii="仿宋_GB2312" w:eastAsia="仿宋_GB2312" w:hAnsi="宋体" w:hint="eastAsia"/>
          <w:sz w:val="28"/>
          <w:szCs w:val="28"/>
        </w:rPr>
        <w:t>0项因素判定为符合要求。</w:t>
      </w:r>
    </w:p>
    <w:p w:rsidR="00235726" w:rsidRDefault="00AF1054">
      <w:pPr>
        <w:ind w:firstLine="600"/>
        <w:rPr>
          <w:rFonts w:ascii="仿宋_GB2312" w:eastAsia="仿宋_GB2312"/>
          <w:sz w:val="28"/>
          <w:szCs w:val="28"/>
        </w:rPr>
      </w:pPr>
      <w:r>
        <w:rPr>
          <w:rFonts w:ascii="仿宋_GB2312" w:eastAsia="仿宋_GB2312" w:hAnsi="宋体"/>
          <w:sz w:val="28"/>
          <w:szCs w:val="28"/>
        </w:rPr>
        <w:t xml:space="preserve">1.3 </w:t>
      </w:r>
      <w:r>
        <w:rPr>
          <w:rFonts w:ascii="仿宋_GB2312" w:eastAsia="仿宋_GB2312" w:hAnsi="宋体" w:hint="eastAsia"/>
          <w:sz w:val="28"/>
          <w:szCs w:val="28"/>
        </w:rPr>
        <w:t>危险废弃物的处置：存在有废磁盘电脑的废弃、复印机碳粉盒的废弃、色带墨盒的废弃、旧日光灯管的废弃、废电池的废弃、汽车蓄电池的废弃、汽车尾气的排放、化学品、药品废弃的空瓶、废弃的用具（橡胶手套、抹布等）共9项环境因素，适用的法律法规有固体废物环境防治法、城市生活垃圾管理办法。公司制定了危险废弃物管理制度，对回收的旧日光灯管、废电池、化学品、药品废弃的空瓶、废弃的用具（橡胶手套、抹布等）集中处置。电脑、复印机耗材由供应商负责回收，汽车上配件由车管所负责回收，尾气每年做车辆排放检测都达标。6项因素判定为符合要求。</w:t>
      </w:r>
    </w:p>
    <w:p w:rsidR="00235726" w:rsidRDefault="00AF1054">
      <w:pPr>
        <w:ind w:firstLine="600"/>
        <w:rPr>
          <w:rFonts w:ascii="仿宋_GB2312" w:eastAsia="仿宋_GB2312"/>
          <w:sz w:val="28"/>
          <w:szCs w:val="28"/>
        </w:rPr>
      </w:pPr>
      <w:r>
        <w:rPr>
          <w:rFonts w:ascii="仿宋_GB2312" w:eastAsia="仿宋_GB2312" w:hAnsi="宋体"/>
          <w:sz w:val="28"/>
          <w:szCs w:val="28"/>
        </w:rPr>
        <w:t xml:space="preserve">1.4 </w:t>
      </w:r>
      <w:r>
        <w:rPr>
          <w:rFonts w:ascii="仿宋_GB2312" w:eastAsia="仿宋_GB2312" w:hAnsi="宋体" w:hint="eastAsia"/>
          <w:sz w:val="28"/>
          <w:szCs w:val="28"/>
        </w:rPr>
        <w:t>能源的使用和消耗：公司存在有、办公生活用水的消耗、办公用电的消耗、办公用品的消耗共3项环境因素。适用的法律法规有节约能源法、清洁生产促进法、机关节约用水用电管理办法。公司对水电的使用制定了管理制度，教育职工节约水电。3项因素判定都符合要求。</w:t>
      </w:r>
    </w:p>
    <w:p w:rsidR="00235726" w:rsidRDefault="00AF1054">
      <w:pPr>
        <w:ind w:firstLine="600"/>
        <w:rPr>
          <w:rFonts w:ascii="仿宋_GB2312" w:eastAsia="仿宋_GB2312" w:hAnsi="宋体"/>
          <w:sz w:val="28"/>
          <w:szCs w:val="28"/>
        </w:rPr>
      </w:pPr>
      <w:r>
        <w:rPr>
          <w:rFonts w:ascii="仿宋_GB2312" w:eastAsia="仿宋_GB2312" w:hAnsi="宋体"/>
          <w:sz w:val="28"/>
          <w:szCs w:val="28"/>
        </w:rPr>
        <w:t xml:space="preserve">1.5 </w:t>
      </w:r>
      <w:r>
        <w:rPr>
          <w:rFonts w:ascii="仿宋_GB2312" w:eastAsia="仿宋_GB2312" w:hAnsi="宋体" w:hint="eastAsia"/>
          <w:sz w:val="28"/>
          <w:szCs w:val="28"/>
        </w:rPr>
        <w:t>紧急情况和事件：公司办公区域存在有办公场地的火灾、地震共</w:t>
      </w:r>
      <w:r>
        <w:rPr>
          <w:rFonts w:ascii="仿宋_GB2312" w:eastAsia="仿宋_GB2312" w:hAnsi="宋体"/>
          <w:sz w:val="28"/>
          <w:szCs w:val="28"/>
        </w:rPr>
        <w:t>2</w:t>
      </w:r>
      <w:r>
        <w:rPr>
          <w:rFonts w:ascii="仿宋_GB2312" w:eastAsia="仿宋_GB2312" w:hAnsi="宋体" w:hint="eastAsia"/>
          <w:sz w:val="28"/>
          <w:szCs w:val="28"/>
        </w:rPr>
        <w:t>项环境因素。适用的法律法规有消防法。公司行政人事部制定了紧急事故和事件的救援预案。</w:t>
      </w:r>
      <w:r>
        <w:rPr>
          <w:rFonts w:ascii="仿宋_GB2312" w:eastAsia="仿宋_GB2312" w:hAnsi="宋体"/>
          <w:sz w:val="28"/>
          <w:szCs w:val="28"/>
        </w:rPr>
        <w:t>2</w:t>
      </w:r>
      <w:r>
        <w:rPr>
          <w:rFonts w:ascii="仿宋_GB2312" w:eastAsia="仿宋_GB2312" w:hAnsi="宋体" w:hint="eastAsia"/>
          <w:sz w:val="28"/>
          <w:szCs w:val="28"/>
        </w:rPr>
        <w:t>项因素判定为符合要求。对施工项目现场有火灾、地震、危险化学品泄露事故、机械伤害事故、触电事故共5项环境因素。适用的法律法规</w:t>
      </w:r>
      <w:r w:rsidR="00296B89">
        <w:rPr>
          <w:rFonts w:ascii="仿宋_GB2312" w:eastAsia="仿宋_GB2312" w:hAnsi="宋体" w:hint="eastAsia"/>
          <w:sz w:val="28"/>
          <w:szCs w:val="28"/>
        </w:rPr>
        <w:t>有消防法、中华人民共和国清洁生产促进法、中华人民共和国放射性污染防治法、中华人民共和国职业病防治法</w:t>
      </w:r>
      <w:r>
        <w:rPr>
          <w:rFonts w:ascii="仿宋_GB2312" w:eastAsia="仿宋_GB2312" w:hAnsi="宋体" w:hint="eastAsia"/>
          <w:sz w:val="28"/>
          <w:szCs w:val="28"/>
        </w:rPr>
        <w:t>。公司项目管理部制定了紧急事</w:t>
      </w:r>
      <w:r>
        <w:rPr>
          <w:rFonts w:ascii="仿宋_GB2312" w:eastAsia="仿宋_GB2312" w:hAnsi="宋体" w:hint="eastAsia"/>
          <w:sz w:val="28"/>
          <w:szCs w:val="28"/>
        </w:rPr>
        <w:lastRenderedPageBreak/>
        <w:t>故和事件的救援预案。3项因素判定为符合要求。</w:t>
      </w:r>
    </w:p>
    <w:p w:rsidR="00235726" w:rsidRDefault="00AF1054">
      <w:pPr>
        <w:ind w:firstLine="600"/>
        <w:rPr>
          <w:rFonts w:ascii="仿宋_GB2312" w:eastAsia="仿宋_GB2312"/>
          <w:sz w:val="28"/>
          <w:szCs w:val="28"/>
        </w:rPr>
      </w:pPr>
      <w:r>
        <w:rPr>
          <w:rFonts w:ascii="仿宋_GB2312" w:eastAsia="仿宋_GB2312" w:hAnsi="宋体"/>
          <w:sz w:val="28"/>
          <w:szCs w:val="28"/>
        </w:rPr>
        <w:t xml:space="preserve">1.6 </w:t>
      </w:r>
      <w:r>
        <w:rPr>
          <w:rFonts w:ascii="仿宋_GB2312" w:eastAsia="仿宋_GB2312" w:hAnsi="宋体" w:hint="eastAsia"/>
          <w:sz w:val="28"/>
          <w:szCs w:val="28"/>
        </w:rPr>
        <w:t>安全管理：公司存在有办公室电路插销破损、复印机辐射、高处取物、搬运重物、地面湿滑、用电线路线头裸露或线路破损、电脑使用过多、上下班途中闯红灯或不安全交通行为、特殊天气出行、驾驶车辆管理</w:t>
      </w:r>
      <w:r>
        <w:rPr>
          <w:rFonts w:ascii="仿宋_GB2312" w:eastAsia="仿宋_GB2312" w:hAnsi="宋体"/>
          <w:sz w:val="28"/>
          <w:szCs w:val="28"/>
        </w:rPr>
        <w:t>12</w:t>
      </w:r>
      <w:r>
        <w:rPr>
          <w:rFonts w:ascii="仿宋_GB2312" w:eastAsia="仿宋_GB2312" w:hAnsi="宋体" w:hint="eastAsia"/>
          <w:sz w:val="28"/>
          <w:szCs w:val="28"/>
        </w:rPr>
        <w:t>项危险因素。使用的法律法规有道路交通安全法、职业病防治法、女职工劳动保护特别规定等。</w:t>
      </w:r>
      <w:r>
        <w:rPr>
          <w:rFonts w:ascii="仿宋_GB2312" w:eastAsia="仿宋_GB2312" w:hAnsi="宋体"/>
          <w:sz w:val="28"/>
          <w:szCs w:val="28"/>
        </w:rPr>
        <w:t>12</w:t>
      </w:r>
      <w:r>
        <w:rPr>
          <w:rFonts w:ascii="仿宋_GB2312" w:eastAsia="仿宋_GB2312" w:hAnsi="宋体" w:hint="eastAsia"/>
          <w:sz w:val="28"/>
          <w:szCs w:val="28"/>
        </w:rPr>
        <w:t>项因素判定为符合要求。</w:t>
      </w:r>
    </w:p>
    <w:p w:rsidR="00235726" w:rsidRDefault="00AF1054">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七、环境与职业健康安全管理方案实施情况报告</w:t>
      </w:r>
    </w:p>
    <w:p w:rsidR="00235726" w:rsidRDefault="00AF1054">
      <w:pPr>
        <w:tabs>
          <w:tab w:val="left" w:pos="1080"/>
        </w:tabs>
        <w:spacing w:line="580" w:lineRule="exact"/>
        <w:ind w:firstLine="600"/>
        <w:rPr>
          <w:rFonts w:ascii="仿宋_GB2312" w:eastAsia="仿宋_GB2312"/>
          <w:sz w:val="28"/>
          <w:szCs w:val="28"/>
        </w:rPr>
      </w:pPr>
      <w:r>
        <w:rPr>
          <w:rFonts w:ascii="仿宋_GB2312" w:eastAsia="仿宋_GB2312" w:hAnsi="宋体" w:hint="eastAsia"/>
          <w:sz w:val="28"/>
          <w:szCs w:val="28"/>
        </w:rPr>
        <w:t>通过以上分析，公司各部门，能有效控制环境、安全因素，资金投入到位，管理措施有效。</w:t>
      </w:r>
    </w:p>
    <w:p w:rsidR="00235726" w:rsidRDefault="00AF1054">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八、环境与职业健康安全管理分析的报告</w:t>
      </w:r>
    </w:p>
    <w:p w:rsidR="00235726" w:rsidRDefault="00AF1054">
      <w:pPr>
        <w:spacing w:line="580" w:lineRule="exact"/>
        <w:rPr>
          <w:rFonts w:ascii="仿宋_GB2312" w:eastAsia="仿宋_GB2312"/>
          <w:sz w:val="28"/>
          <w:szCs w:val="28"/>
        </w:rPr>
      </w:pPr>
      <w:r>
        <w:rPr>
          <w:rFonts w:ascii="仿宋_GB2312" w:eastAsia="仿宋_GB2312" w:hAnsi="宋体"/>
          <w:sz w:val="28"/>
          <w:szCs w:val="28"/>
        </w:rPr>
        <w:t xml:space="preserve">    </w:t>
      </w:r>
      <w:r>
        <w:rPr>
          <w:rFonts w:ascii="仿宋_GB2312" w:eastAsia="仿宋_GB2312" w:hAnsi="宋体" w:hint="eastAsia"/>
          <w:sz w:val="28"/>
          <w:szCs w:val="28"/>
        </w:rPr>
        <w:t>公司自环境与职业健康安全管理体系运行以来，根据</w:t>
      </w:r>
      <w:r>
        <w:rPr>
          <w:rFonts w:ascii="仿宋_GB2312" w:eastAsia="仿宋_GB2312" w:hAnsi="宋体"/>
          <w:sz w:val="28"/>
          <w:szCs w:val="28"/>
        </w:rPr>
        <w:t>GB/T24001-20</w:t>
      </w:r>
      <w:r>
        <w:rPr>
          <w:rFonts w:ascii="仿宋_GB2312" w:eastAsia="仿宋_GB2312" w:hAnsi="宋体" w:hint="eastAsia"/>
          <w:sz w:val="28"/>
          <w:szCs w:val="28"/>
        </w:rPr>
        <w:t>16和</w:t>
      </w:r>
      <w:r w:rsidR="0040752B">
        <w:rPr>
          <w:rFonts w:ascii="仿宋_GB2312" w:eastAsia="仿宋_GB2312" w:hAnsi="宋体" w:hint="eastAsia"/>
          <w:sz w:val="28"/>
          <w:szCs w:val="28"/>
        </w:rPr>
        <w:t>ISO45001:2018</w:t>
      </w:r>
      <w:r>
        <w:rPr>
          <w:rFonts w:ascii="仿宋_GB2312" w:eastAsia="仿宋_GB2312" w:hAnsi="宋体" w:hint="eastAsia"/>
          <w:sz w:val="28"/>
          <w:szCs w:val="28"/>
        </w:rPr>
        <w:t>两个标准，举行了数次标准培训，使安全意识的观念深入贯彻到每个员工，在日常生活、工作过程中都能体现人人管安全、人人要安全氛围，环境管理体系在公司覆盖范围内运行可控、有效。</w:t>
      </w:r>
    </w:p>
    <w:p w:rsidR="00235726" w:rsidRDefault="00AF1054">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九、存在的薄弱环节及改进的建议</w:t>
      </w:r>
    </w:p>
    <w:p w:rsidR="00235726" w:rsidRDefault="00296B89">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通过今年的体系运行</w:t>
      </w:r>
      <w:r w:rsidR="00AF1054">
        <w:rPr>
          <w:rFonts w:ascii="仿宋_GB2312" w:eastAsia="仿宋_GB2312" w:hAnsi="宋体" w:hint="eastAsia"/>
          <w:sz w:val="28"/>
          <w:szCs w:val="28"/>
        </w:rPr>
        <w:t>，公司的安全健康、环境保护运行有效，达到了预期结果，但仍存在一定问题：</w:t>
      </w:r>
    </w:p>
    <w:p w:rsidR="00235726" w:rsidRDefault="00AF1054">
      <w:pPr>
        <w:spacing w:line="580" w:lineRule="exact"/>
        <w:ind w:firstLineChars="200" w:firstLine="560"/>
        <w:rPr>
          <w:rFonts w:ascii="仿宋_GB2312" w:eastAsia="仿宋_GB2312"/>
          <w:sz w:val="28"/>
          <w:szCs w:val="28"/>
        </w:rPr>
      </w:pPr>
      <w:r>
        <w:rPr>
          <w:rFonts w:ascii="仿宋_GB2312" w:eastAsia="仿宋_GB2312" w:hAnsi="宋体"/>
          <w:sz w:val="28"/>
          <w:szCs w:val="28"/>
        </w:rPr>
        <w:t>1</w:t>
      </w:r>
      <w:r>
        <w:rPr>
          <w:rFonts w:ascii="仿宋_GB2312" w:eastAsia="仿宋_GB2312" w:hAnsi="宋体" w:hint="eastAsia"/>
          <w:sz w:val="28"/>
          <w:szCs w:val="28"/>
        </w:rPr>
        <w:t>、对标准理解不透，学习不到位，对环境因素的识别和评价方法不能熟练运用，建议举办标准培训。</w:t>
      </w:r>
    </w:p>
    <w:p w:rsidR="00235726" w:rsidRDefault="00AF1054">
      <w:pPr>
        <w:spacing w:line="580" w:lineRule="exact"/>
        <w:ind w:firstLineChars="200" w:firstLine="560"/>
        <w:rPr>
          <w:rFonts w:ascii="仿宋_GB2312" w:eastAsia="仿宋_GB2312"/>
          <w:color w:val="000000"/>
          <w:sz w:val="32"/>
          <w:szCs w:val="32"/>
        </w:rPr>
      </w:pPr>
      <w:r>
        <w:rPr>
          <w:rFonts w:ascii="仿宋_GB2312" w:eastAsia="仿宋_GB2312" w:hAnsi="宋体"/>
          <w:sz w:val="28"/>
          <w:szCs w:val="28"/>
        </w:rPr>
        <w:t>2</w:t>
      </w:r>
      <w:r>
        <w:rPr>
          <w:rFonts w:ascii="仿宋_GB2312" w:eastAsia="仿宋_GB2312" w:hAnsi="宋体" w:hint="eastAsia"/>
          <w:sz w:val="28"/>
          <w:szCs w:val="28"/>
        </w:rPr>
        <w:t>、各项规章制度的执行、落实力度有待于进一步提高</w:t>
      </w:r>
      <w:r>
        <w:rPr>
          <w:rFonts w:ascii="仿宋_GB2312" w:eastAsia="仿宋_GB2312" w:hint="eastAsia"/>
          <w:color w:val="000000"/>
          <w:sz w:val="32"/>
          <w:szCs w:val="32"/>
        </w:rPr>
        <w:t>。</w:t>
      </w:r>
    </w:p>
    <w:p w:rsidR="00235726" w:rsidRDefault="00AF1054">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3、专职安全管理人员的文化素质、业务知识水平有待于提高，人员更换过于频繁。</w:t>
      </w:r>
    </w:p>
    <w:p w:rsidR="00235726" w:rsidRDefault="00AF1054">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十、环境与职业健康安全管理合规性评价结论</w:t>
      </w:r>
    </w:p>
    <w:p w:rsidR="00235726" w:rsidRDefault="00AF1054">
      <w:pPr>
        <w:spacing w:line="580" w:lineRule="exact"/>
        <w:ind w:firstLine="540"/>
        <w:rPr>
          <w:rFonts w:ascii="仿宋_GB2312" w:eastAsia="仿宋_GB2312"/>
          <w:sz w:val="28"/>
          <w:szCs w:val="28"/>
        </w:rPr>
      </w:pPr>
      <w:r>
        <w:rPr>
          <w:rFonts w:ascii="仿宋_GB2312" w:eastAsia="仿宋_GB2312" w:hAnsi="宋体" w:hint="eastAsia"/>
          <w:sz w:val="28"/>
          <w:szCs w:val="28"/>
        </w:rPr>
        <w:t>公司各部门能有效遵循法律法规进行运行，未发生环境扰民事件，未有</w:t>
      </w:r>
      <w:r>
        <w:rPr>
          <w:rFonts w:ascii="仿宋_GB2312" w:eastAsia="仿宋_GB2312" w:hAnsi="宋体" w:hint="eastAsia"/>
          <w:sz w:val="28"/>
          <w:szCs w:val="28"/>
        </w:rPr>
        <w:lastRenderedPageBreak/>
        <w:t>相邻单位和个人投诉，无环境污染事件发生，没有发生安全事故。</w:t>
      </w:r>
    </w:p>
    <w:p w:rsidR="00235726" w:rsidRDefault="00235726">
      <w:pPr>
        <w:jc w:val="center"/>
        <w:rPr>
          <w:rFonts w:ascii="宋体" w:cs="宋体"/>
          <w:sz w:val="32"/>
        </w:rPr>
      </w:pPr>
    </w:p>
    <w:p w:rsidR="00235726" w:rsidRDefault="00235726">
      <w:pPr>
        <w:jc w:val="center"/>
        <w:rPr>
          <w:rFonts w:ascii="宋体" w:cs="宋体"/>
          <w:sz w:val="32"/>
        </w:rPr>
      </w:pPr>
    </w:p>
    <w:p w:rsidR="00235726" w:rsidRDefault="00AF1054">
      <w:pPr>
        <w:spacing w:line="580" w:lineRule="exact"/>
        <w:rPr>
          <w:rFonts w:ascii="仿宋_GB2312" w:eastAsia="仿宋_GB2312" w:hAnsi="宋体"/>
          <w:sz w:val="28"/>
          <w:szCs w:val="28"/>
        </w:rPr>
      </w:pPr>
      <w:r>
        <w:rPr>
          <w:rFonts w:ascii="仿宋_GB2312" w:eastAsia="仿宋_GB2312" w:hAnsi="宋体" w:hint="eastAsia"/>
          <w:sz w:val="28"/>
          <w:szCs w:val="28"/>
        </w:rPr>
        <w:t xml:space="preserve">                                               </w:t>
      </w:r>
      <w:r w:rsidR="00296B89">
        <w:rPr>
          <w:rFonts w:ascii="仿宋_GB2312" w:eastAsia="仿宋_GB2312" w:hAnsi="宋体" w:hint="eastAsia"/>
          <w:sz w:val="28"/>
          <w:szCs w:val="28"/>
        </w:rPr>
        <w:t>综合</w:t>
      </w:r>
      <w:r>
        <w:rPr>
          <w:rFonts w:ascii="仿宋_GB2312" w:eastAsia="仿宋_GB2312" w:hAnsi="宋体" w:hint="eastAsia"/>
          <w:sz w:val="28"/>
          <w:szCs w:val="28"/>
        </w:rPr>
        <w:t>部</w:t>
      </w:r>
    </w:p>
    <w:p w:rsidR="00235726" w:rsidRDefault="00AF1054">
      <w:pPr>
        <w:spacing w:line="580" w:lineRule="exact"/>
        <w:rPr>
          <w:rFonts w:ascii="仿宋_GB2312" w:eastAsia="仿宋_GB2312" w:hAnsi="宋体"/>
          <w:sz w:val="28"/>
          <w:szCs w:val="28"/>
        </w:rPr>
      </w:pPr>
      <w:r>
        <w:rPr>
          <w:rFonts w:ascii="仿宋_GB2312" w:eastAsia="仿宋_GB2312" w:hAnsi="宋体" w:hint="eastAsia"/>
          <w:sz w:val="28"/>
          <w:szCs w:val="28"/>
        </w:rPr>
        <w:t xml:space="preserve">                  </w:t>
      </w:r>
      <w:r w:rsidR="0040752B">
        <w:rPr>
          <w:rFonts w:ascii="仿宋_GB2312" w:eastAsia="仿宋_GB2312" w:hAnsi="宋体" w:hint="eastAsia"/>
          <w:sz w:val="28"/>
          <w:szCs w:val="28"/>
        </w:rPr>
        <w:t xml:space="preserve">                            2020</w:t>
      </w:r>
      <w:r>
        <w:rPr>
          <w:rFonts w:ascii="仿宋_GB2312" w:eastAsia="仿宋_GB2312" w:hAnsi="宋体" w:hint="eastAsia"/>
          <w:sz w:val="28"/>
          <w:szCs w:val="28"/>
        </w:rPr>
        <w:t>年</w:t>
      </w:r>
      <w:r w:rsidR="00296B89">
        <w:rPr>
          <w:rFonts w:ascii="仿宋_GB2312" w:eastAsia="仿宋_GB2312" w:hAnsi="宋体" w:hint="eastAsia"/>
          <w:sz w:val="28"/>
          <w:szCs w:val="28"/>
        </w:rPr>
        <w:t>5</w:t>
      </w:r>
      <w:r>
        <w:rPr>
          <w:rFonts w:ascii="仿宋_GB2312" w:eastAsia="仿宋_GB2312" w:hAnsi="宋体" w:hint="eastAsia"/>
          <w:sz w:val="28"/>
          <w:szCs w:val="28"/>
        </w:rPr>
        <w:t>月</w:t>
      </w:r>
      <w:r w:rsidR="00296B89">
        <w:rPr>
          <w:rFonts w:ascii="仿宋_GB2312" w:eastAsia="仿宋_GB2312" w:hAnsi="宋体" w:hint="eastAsia"/>
          <w:sz w:val="28"/>
          <w:szCs w:val="28"/>
        </w:rPr>
        <w:t>22</w:t>
      </w:r>
      <w:bookmarkStart w:id="0" w:name="_GoBack"/>
      <w:bookmarkEnd w:id="0"/>
      <w:r>
        <w:rPr>
          <w:rFonts w:ascii="仿宋_GB2312" w:eastAsia="仿宋_GB2312" w:hAnsi="宋体" w:hint="eastAsia"/>
          <w:sz w:val="28"/>
          <w:szCs w:val="28"/>
        </w:rPr>
        <w:t>日</w:t>
      </w:r>
    </w:p>
    <w:sectPr w:rsidR="00235726">
      <w:footerReference w:type="even" r:id="rId9"/>
      <w:footerReference w:type="default" r:id="rId10"/>
      <w:pgSz w:w="11906" w:h="16838"/>
      <w:pgMar w:top="1134" w:right="1304" w:bottom="1134" w:left="1304" w:header="851" w:footer="992" w:gutter="0"/>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650" w:rsidRDefault="005E7650">
      <w:r>
        <w:separator/>
      </w:r>
    </w:p>
  </w:endnote>
  <w:endnote w:type="continuationSeparator" w:id="0">
    <w:p w:rsidR="005E7650" w:rsidRDefault="005E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26" w:rsidRDefault="00AF1054">
    <w:pPr>
      <w:pStyle w:val="a3"/>
      <w:jc w:val="right"/>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6</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11</w:t>
    </w:r>
    <w:r>
      <w:rPr>
        <w:kern w:val="0"/>
        <w:szCs w:val="21"/>
      </w:rPr>
      <w:fldChar w:fldCharType="end"/>
    </w:r>
    <w:r>
      <w:rPr>
        <w:kern w:val="0"/>
        <w:szCs w:val="21"/>
      </w:rPr>
      <w:t xml:space="preserve"> </w:t>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26" w:rsidRDefault="00AF1054">
    <w:pPr>
      <w:pStyle w:val="a3"/>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296B89">
      <w:rPr>
        <w:noProof/>
        <w:kern w:val="0"/>
        <w:szCs w:val="21"/>
      </w:rPr>
      <w:t>4</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296B89">
      <w:rPr>
        <w:noProof/>
        <w:kern w:val="0"/>
        <w:szCs w:val="21"/>
      </w:rPr>
      <w:t>4</w:t>
    </w:r>
    <w:r>
      <w:rPr>
        <w:kern w:val="0"/>
        <w:szCs w:val="21"/>
      </w:rPr>
      <w:fldChar w:fldCharType="end"/>
    </w:r>
    <w:r>
      <w:rPr>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650" w:rsidRDefault="005E7650">
      <w:r>
        <w:separator/>
      </w:r>
    </w:p>
  </w:footnote>
  <w:footnote w:type="continuationSeparator" w:id="0">
    <w:p w:rsidR="005E7650" w:rsidRDefault="005E7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C2B6C"/>
    <w:multiLevelType w:val="multilevel"/>
    <w:tmpl w:val="0F3C2B6C"/>
    <w:lvl w:ilvl="0">
      <w:start w:val="1"/>
      <w:numFmt w:val="japaneseCounting"/>
      <w:lvlText w:val="%1、"/>
      <w:lvlJc w:val="left"/>
      <w:pPr>
        <w:tabs>
          <w:tab w:val="left" w:pos="1320"/>
        </w:tabs>
        <w:ind w:left="1320" w:hanging="720"/>
      </w:pPr>
      <w:rPr>
        <w:rFonts w:cs="Times New Roman" w:hint="eastAsia"/>
      </w:rPr>
    </w:lvl>
    <w:lvl w:ilvl="1">
      <w:start w:val="1"/>
      <w:numFmt w:val="decimal"/>
      <w:lvlText w:val="%2、"/>
      <w:lvlJc w:val="left"/>
      <w:pPr>
        <w:tabs>
          <w:tab w:val="left" w:pos="1740"/>
        </w:tabs>
        <w:ind w:left="1740" w:hanging="720"/>
      </w:pPr>
      <w:rPr>
        <w:rFonts w:cs="Times New Roman" w:hint="eastAsia"/>
      </w:rPr>
    </w:lvl>
    <w:lvl w:ilvl="2">
      <w:start w:val="1"/>
      <w:numFmt w:val="lowerRoman"/>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3157"/>
    <w:rsid w:val="000022ED"/>
    <w:rsid w:val="000078F7"/>
    <w:rsid w:val="000117E6"/>
    <w:rsid w:val="00034E9A"/>
    <w:rsid w:val="000D1A7A"/>
    <w:rsid w:val="00123D4E"/>
    <w:rsid w:val="00126F19"/>
    <w:rsid w:val="00140EF7"/>
    <w:rsid w:val="00147149"/>
    <w:rsid w:val="001B0613"/>
    <w:rsid w:val="001B6CEF"/>
    <w:rsid w:val="00211726"/>
    <w:rsid w:val="00213766"/>
    <w:rsid w:val="00224C8E"/>
    <w:rsid w:val="00235726"/>
    <w:rsid w:val="00242ED1"/>
    <w:rsid w:val="00246F6A"/>
    <w:rsid w:val="0026601B"/>
    <w:rsid w:val="0026724B"/>
    <w:rsid w:val="00296B89"/>
    <w:rsid w:val="002A6D02"/>
    <w:rsid w:val="002F696B"/>
    <w:rsid w:val="00312B4A"/>
    <w:rsid w:val="00357389"/>
    <w:rsid w:val="00362CE5"/>
    <w:rsid w:val="00377312"/>
    <w:rsid w:val="00382D3F"/>
    <w:rsid w:val="003B5A0F"/>
    <w:rsid w:val="003B6D6A"/>
    <w:rsid w:val="003F5335"/>
    <w:rsid w:val="003F72BE"/>
    <w:rsid w:val="00401B13"/>
    <w:rsid w:val="0040752B"/>
    <w:rsid w:val="00413E3F"/>
    <w:rsid w:val="00444193"/>
    <w:rsid w:val="00464037"/>
    <w:rsid w:val="0046454B"/>
    <w:rsid w:val="00470F71"/>
    <w:rsid w:val="00493C9D"/>
    <w:rsid w:val="004A5A4B"/>
    <w:rsid w:val="004C385A"/>
    <w:rsid w:val="004C52BE"/>
    <w:rsid w:val="004D27C8"/>
    <w:rsid w:val="00517CA7"/>
    <w:rsid w:val="00544CDE"/>
    <w:rsid w:val="0054757F"/>
    <w:rsid w:val="005C5193"/>
    <w:rsid w:val="005D6ADD"/>
    <w:rsid w:val="005E38E0"/>
    <w:rsid w:val="005E7650"/>
    <w:rsid w:val="005F6004"/>
    <w:rsid w:val="00604FB8"/>
    <w:rsid w:val="006156E0"/>
    <w:rsid w:val="00694DBE"/>
    <w:rsid w:val="006B135F"/>
    <w:rsid w:val="00730C0E"/>
    <w:rsid w:val="00764C16"/>
    <w:rsid w:val="007838AE"/>
    <w:rsid w:val="007A0541"/>
    <w:rsid w:val="007A33F1"/>
    <w:rsid w:val="007B2CE9"/>
    <w:rsid w:val="007C4734"/>
    <w:rsid w:val="007F6A08"/>
    <w:rsid w:val="0086224D"/>
    <w:rsid w:val="00874190"/>
    <w:rsid w:val="00875B2B"/>
    <w:rsid w:val="0088440F"/>
    <w:rsid w:val="008A4EE5"/>
    <w:rsid w:val="008C1D3D"/>
    <w:rsid w:val="008C2681"/>
    <w:rsid w:val="008E136D"/>
    <w:rsid w:val="008F1C7C"/>
    <w:rsid w:val="00901E8F"/>
    <w:rsid w:val="00923888"/>
    <w:rsid w:val="0093109F"/>
    <w:rsid w:val="00961417"/>
    <w:rsid w:val="009661B4"/>
    <w:rsid w:val="009779C0"/>
    <w:rsid w:val="00980281"/>
    <w:rsid w:val="009B3178"/>
    <w:rsid w:val="00A11C5F"/>
    <w:rsid w:val="00A2049B"/>
    <w:rsid w:val="00A26987"/>
    <w:rsid w:val="00A33157"/>
    <w:rsid w:val="00A35D04"/>
    <w:rsid w:val="00AC69C1"/>
    <w:rsid w:val="00AF1054"/>
    <w:rsid w:val="00AF5DF4"/>
    <w:rsid w:val="00B01A9E"/>
    <w:rsid w:val="00B0378A"/>
    <w:rsid w:val="00B24DBC"/>
    <w:rsid w:val="00B320F8"/>
    <w:rsid w:val="00B4275F"/>
    <w:rsid w:val="00B91D5F"/>
    <w:rsid w:val="00BB248D"/>
    <w:rsid w:val="00BC5E70"/>
    <w:rsid w:val="00BD3563"/>
    <w:rsid w:val="00BF48E7"/>
    <w:rsid w:val="00C457B0"/>
    <w:rsid w:val="00C50B56"/>
    <w:rsid w:val="00C60F6B"/>
    <w:rsid w:val="00C93C18"/>
    <w:rsid w:val="00C93F13"/>
    <w:rsid w:val="00C96D17"/>
    <w:rsid w:val="00CA3876"/>
    <w:rsid w:val="00CB1AD3"/>
    <w:rsid w:val="00CD300C"/>
    <w:rsid w:val="00CD4CF8"/>
    <w:rsid w:val="00CE24A0"/>
    <w:rsid w:val="00CF3F17"/>
    <w:rsid w:val="00D13281"/>
    <w:rsid w:val="00D32797"/>
    <w:rsid w:val="00D56AA6"/>
    <w:rsid w:val="00DC78BF"/>
    <w:rsid w:val="00E32BFC"/>
    <w:rsid w:val="00E37303"/>
    <w:rsid w:val="00E429FF"/>
    <w:rsid w:val="00E63450"/>
    <w:rsid w:val="00E744FF"/>
    <w:rsid w:val="00E823C9"/>
    <w:rsid w:val="00E83855"/>
    <w:rsid w:val="00EF050D"/>
    <w:rsid w:val="00EF2901"/>
    <w:rsid w:val="00F37D6D"/>
    <w:rsid w:val="00F47E86"/>
    <w:rsid w:val="00F819DF"/>
    <w:rsid w:val="00F91B0F"/>
    <w:rsid w:val="00FA28D3"/>
    <w:rsid w:val="00FA7EFA"/>
    <w:rsid w:val="00FC41FE"/>
    <w:rsid w:val="00FE20E9"/>
    <w:rsid w:val="12E549CD"/>
    <w:rsid w:val="147A6CA9"/>
    <w:rsid w:val="292943BF"/>
    <w:rsid w:val="4D421BEC"/>
    <w:rsid w:val="52F056A2"/>
    <w:rsid w:val="70D74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Pr>
      <w:rFonts w:cs="Times New Roman"/>
      <w:sz w:val="18"/>
      <w:szCs w:val="18"/>
    </w:rPr>
  </w:style>
  <w:style w:type="character" w:customStyle="1" w:styleId="Char">
    <w:name w:val="页脚 Char"/>
    <w:basedOn w:val="a0"/>
    <w:link w:val="a3"/>
    <w:uiPriority w:val="99"/>
    <w:semiHidden/>
    <w:qFormat/>
    <w:locked/>
    <w:rPr>
      <w:rFonts w:cs="Times New Roman"/>
      <w:sz w:val="18"/>
      <w:szCs w:val="18"/>
    </w:rPr>
  </w:style>
  <w:style w:type="paragraph" w:customStyle="1" w:styleId="1">
    <w:name w:val="无间隔1"/>
    <w:link w:val="Char1"/>
    <w:uiPriority w:val="1"/>
    <w:qFormat/>
    <w:rPr>
      <w:rFonts w:ascii="Calibri" w:hAnsi="Calibri"/>
      <w:sz w:val="22"/>
      <w:szCs w:val="22"/>
    </w:rPr>
  </w:style>
  <w:style w:type="character" w:customStyle="1" w:styleId="Char1">
    <w:name w:val="无间隔 Char"/>
    <w:basedOn w:val="a0"/>
    <w:link w:val="1"/>
    <w:uiPriority w:val="1"/>
    <w:qFormat/>
    <w:rPr>
      <w:sz w:val="22"/>
      <w:szCs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278</Words>
  <Characters>1585</Characters>
  <Application>Microsoft Office Word</Application>
  <DocSecurity>0</DocSecurity>
  <Lines>13</Lines>
  <Paragraphs>3</Paragraphs>
  <ScaleCrop>false</ScaleCrop>
  <Company>微软中国</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宋立勋</dc:creator>
  <cp:lastModifiedBy>xb21cn</cp:lastModifiedBy>
  <cp:revision>9</cp:revision>
  <cp:lastPrinted>2016-06-14T10:27:00Z</cp:lastPrinted>
  <dcterms:created xsi:type="dcterms:W3CDTF">2016-08-17T05:47:00Z</dcterms:created>
  <dcterms:modified xsi:type="dcterms:W3CDTF">2020-06-07T14:19:00Z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